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09A7" w14:textId="225EA294" w:rsidR="00400484" w:rsidRDefault="00400484" w:rsidP="00400484">
      <w:pPr>
        <w:spacing w:before="0" w:beforeAutospacing="0" w:after="0" w:afterAutospacing="0"/>
        <w:jc w:val="center"/>
        <w:rPr>
          <w:rFonts w:ascii="Times New Roman" w:hAnsi="Times New Roman" w:cs="Times New Roman"/>
          <w:b/>
          <w:bCs/>
        </w:rPr>
      </w:pPr>
      <w:r>
        <w:rPr>
          <w:rFonts w:ascii="Times New Roman" w:hAnsi="Times New Roman" w:cs="Times New Roman"/>
          <w:b/>
          <w:bCs/>
        </w:rPr>
        <w:t>ORDINANCE 202</w:t>
      </w:r>
      <w:r w:rsidR="00355108">
        <w:rPr>
          <w:rFonts w:ascii="Times New Roman" w:hAnsi="Times New Roman" w:cs="Times New Roman"/>
          <w:b/>
          <w:bCs/>
        </w:rPr>
        <w:t>4</w:t>
      </w:r>
      <w:r>
        <w:rPr>
          <w:rFonts w:ascii="Times New Roman" w:hAnsi="Times New Roman" w:cs="Times New Roman"/>
          <w:b/>
          <w:bCs/>
        </w:rPr>
        <w:t>-00</w:t>
      </w:r>
      <w:r w:rsidR="00355108">
        <w:rPr>
          <w:rFonts w:ascii="Times New Roman" w:hAnsi="Times New Roman" w:cs="Times New Roman"/>
          <w:b/>
          <w:bCs/>
        </w:rPr>
        <w:t>2</w:t>
      </w:r>
    </w:p>
    <w:p w14:paraId="4E1AE40C" w14:textId="78AB6C55" w:rsidR="00400484" w:rsidRDefault="00400484" w:rsidP="00400484">
      <w:pPr>
        <w:spacing w:before="0" w:beforeAutospacing="0" w:after="0" w:afterAutospacing="0"/>
        <w:jc w:val="center"/>
        <w:rPr>
          <w:rFonts w:ascii="Times New Roman" w:hAnsi="Times New Roman" w:cs="Times New Roman"/>
          <w:b/>
          <w:bCs/>
        </w:rPr>
      </w:pPr>
    </w:p>
    <w:p w14:paraId="7BCF8E89" w14:textId="77777777" w:rsidR="009B4BA9" w:rsidRDefault="00400484" w:rsidP="00400484">
      <w:pPr>
        <w:spacing w:before="0" w:beforeAutospacing="0" w:after="0" w:afterAutospacing="0"/>
        <w:jc w:val="center"/>
        <w:rPr>
          <w:rFonts w:ascii="Times New Roman" w:hAnsi="Times New Roman" w:cs="Times New Roman"/>
          <w:b/>
          <w:bCs/>
        </w:rPr>
      </w:pPr>
      <w:r>
        <w:rPr>
          <w:rFonts w:ascii="Times New Roman" w:hAnsi="Times New Roman" w:cs="Times New Roman"/>
          <w:b/>
          <w:bCs/>
        </w:rPr>
        <w:t>AN ORDINANCE OF THE TOWN OF FORT GIBSON AMENDING</w:t>
      </w:r>
      <w:r w:rsidR="009B4BA9">
        <w:rPr>
          <w:rFonts w:ascii="Times New Roman" w:hAnsi="Times New Roman" w:cs="Times New Roman"/>
          <w:b/>
          <w:bCs/>
        </w:rPr>
        <w:t xml:space="preserve"> THE </w:t>
      </w:r>
    </w:p>
    <w:p w14:paraId="6368001F" w14:textId="43829E2C" w:rsidR="00400484" w:rsidRPr="00355108" w:rsidRDefault="009B4BA9" w:rsidP="00355108">
      <w:pPr>
        <w:spacing w:before="0" w:beforeAutospacing="0" w:after="0" w:afterAutospacing="0"/>
        <w:jc w:val="center"/>
        <w:rPr>
          <w:rFonts w:ascii="Times New Roman" w:hAnsi="Times New Roman" w:cs="Times New Roman"/>
          <w:b/>
          <w:bCs/>
        </w:rPr>
      </w:pPr>
      <w:r>
        <w:rPr>
          <w:rFonts w:ascii="Times New Roman" w:hAnsi="Times New Roman" w:cs="Times New Roman"/>
          <w:b/>
          <w:bCs/>
        </w:rPr>
        <w:t xml:space="preserve">TOWN CODE AT </w:t>
      </w:r>
      <w:r w:rsidR="00400484">
        <w:rPr>
          <w:rFonts w:ascii="Times New Roman" w:hAnsi="Times New Roman" w:cs="Times New Roman"/>
          <w:b/>
          <w:bCs/>
        </w:rPr>
        <w:t>TITLE 1</w:t>
      </w:r>
      <w:r w:rsidR="00355108">
        <w:rPr>
          <w:rFonts w:ascii="Times New Roman" w:hAnsi="Times New Roman" w:cs="Times New Roman"/>
          <w:b/>
          <w:bCs/>
        </w:rPr>
        <w:t>5, LAND USAGE</w:t>
      </w:r>
      <w:r w:rsidR="00400484">
        <w:rPr>
          <w:rFonts w:ascii="Times New Roman" w:hAnsi="Times New Roman" w:cs="Times New Roman"/>
          <w:b/>
          <w:bCs/>
        </w:rPr>
        <w:t>, CHAPTER 1</w:t>
      </w:r>
      <w:r w:rsidR="00355108">
        <w:rPr>
          <w:rFonts w:ascii="Times New Roman" w:hAnsi="Times New Roman" w:cs="Times New Roman"/>
          <w:b/>
          <w:bCs/>
        </w:rPr>
        <w:t>57, ZONING</w:t>
      </w:r>
      <w:r w:rsidR="00400484">
        <w:rPr>
          <w:rFonts w:ascii="Times New Roman" w:hAnsi="Times New Roman" w:cs="Times New Roman"/>
          <w:b/>
          <w:bCs/>
        </w:rPr>
        <w:t xml:space="preserve">, SECTION </w:t>
      </w:r>
      <w:r w:rsidR="00355108">
        <w:rPr>
          <w:rFonts w:ascii="Times New Roman" w:hAnsi="Times New Roman" w:cs="Times New Roman"/>
          <w:b/>
          <w:bCs/>
        </w:rPr>
        <w:t>157.040</w:t>
      </w:r>
      <w:r w:rsidR="00400484">
        <w:rPr>
          <w:rFonts w:ascii="Times New Roman" w:hAnsi="Times New Roman" w:cs="Times New Roman"/>
          <w:b/>
          <w:bCs/>
        </w:rPr>
        <w:t xml:space="preserve">, </w:t>
      </w:r>
      <w:r w:rsidR="00355108">
        <w:rPr>
          <w:rFonts w:ascii="Times New Roman" w:hAnsi="Times New Roman" w:cs="Times New Roman"/>
          <w:b/>
          <w:bCs/>
        </w:rPr>
        <w:t>APPEALS TO THE DISTRICT COURT</w:t>
      </w:r>
      <w:r w:rsidR="00400484">
        <w:rPr>
          <w:rFonts w:ascii="Times New Roman" w:hAnsi="Times New Roman" w:cs="Times New Roman"/>
          <w:b/>
          <w:bCs/>
        </w:rPr>
        <w:t>,</w:t>
      </w:r>
      <w:r w:rsidR="00355108">
        <w:rPr>
          <w:rFonts w:ascii="Times New Roman" w:hAnsi="Times New Roman" w:cs="Times New Roman"/>
          <w:b/>
          <w:bCs/>
        </w:rPr>
        <w:t xml:space="preserve"> </w:t>
      </w:r>
      <w:r w:rsidR="00400484">
        <w:rPr>
          <w:rFonts w:ascii="Times New Roman" w:hAnsi="Times New Roman" w:cs="Times New Roman"/>
          <w:b/>
          <w:bCs/>
        </w:rPr>
        <w:t xml:space="preserve">SUBPARAGRAPH </w:t>
      </w:r>
      <w:r w:rsidR="00355108">
        <w:rPr>
          <w:rFonts w:ascii="Times New Roman" w:hAnsi="Times New Roman" w:cs="Times New Roman"/>
          <w:b/>
          <w:bCs/>
        </w:rPr>
        <w:t xml:space="preserve">A, ADDING A REPEALER CLAUSE, </w:t>
      </w:r>
      <w:r w:rsidR="00A366C3">
        <w:rPr>
          <w:rFonts w:ascii="Times New Roman" w:hAnsi="Times New Roman" w:cs="Times New Roman"/>
          <w:b/>
          <w:bCs/>
        </w:rPr>
        <w:t xml:space="preserve">SEVERABILITY CLAUASE, </w:t>
      </w:r>
      <w:r w:rsidR="00355108">
        <w:rPr>
          <w:rFonts w:ascii="Times New Roman" w:hAnsi="Times New Roman" w:cs="Times New Roman"/>
          <w:b/>
          <w:bCs/>
        </w:rPr>
        <w:t>AND DECLARING AN EMERGENCY</w:t>
      </w:r>
      <w:r w:rsidR="00400484">
        <w:rPr>
          <w:rFonts w:ascii="Times New Roman" w:hAnsi="Times New Roman" w:cs="Times New Roman"/>
          <w:b/>
          <w:bCs/>
        </w:rPr>
        <w:t>.</w:t>
      </w:r>
    </w:p>
    <w:p w14:paraId="1620251A" w14:textId="6A3C08F2" w:rsidR="00400484" w:rsidRDefault="00400484" w:rsidP="00400484">
      <w:pPr>
        <w:spacing w:before="0" w:beforeAutospacing="0" w:after="0" w:afterAutospacing="0"/>
        <w:jc w:val="center"/>
        <w:rPr>
          <w:rFonts w:ascii="Times New Roman" w:hAnsi="Times New Roman" w:cs="Times New Roman"/>
        </w:rPr>
      </w:pPr>
    </w:p>
    <w:p w14:paraId="1C301617" w14:textId="0C237FAA" w:rsidR="00400484" w:rsidRDefault="00355108" w:rsidP="00400484">
      <w:pPr>
        <w:spacing w:before="0" w:beforeAutospacing="0" w:after="0" w:afterAutospacing="0"/>
        <w:jc w:val="both"/>
        <w:rPr>
          <w:rFonts w:ascii="Times New Roman" w:hAnsi="Times New Roman" w:cs="Times New Roman"/>
        </w:rPr>
      </w:pPr>
      <w:r>
        <w:rPr>
          <w:rFonts w:ascii="Times New Roman" w:hAnsi="Times New Roman" w:cs="Times New Roman"/>
          <w:b/>
          <w:bCs/>
        </w:rPr>
        <w:t>157.040</w:t>
      </w:r>
      <w:r w:rsidR="00400484">
        <w:rPr>
          <w:rFonts w:ascii="Times New Roman" w:hAnsi="Times New Roman" w:cs="Times New Roman"/>
          <w:b/>
          <w:bCs/>
        </w:rPr>
        <w:t>:</w:t>
      </w:r>
      <w:r>
        <w:rPr>
          <w:rFonts w:ascii="Times New Roman" w:hAnsi="Times New Roman" w:cs="Times New Roman"/>
          <w:b/>
          <w:bCs/>
        </w:rPr>
        <w:t xml:space="preserve"> APPEALS TO DISTRICT COURT</w:t>
      </w:r>
      <w:r w:rsidR="00400484">
        <w:rPr>
          <w:rFonts w:ascii="Times New Roman" w:hAnsi="Times New Roman" w:cs="Times New Roman"/>
          <w:b/>
          <w:bCs/>
        </w:rPr>
        <w:t>:</w:t>
      </w:r>
    </w:p>
    <w:p w14:paraId="6B3F381B" w14:textId="73584297" w:rsidR="00400484" w:rsidRDefault="00400484" w:rsidP="00400484">
      <w:pPr>
        <w:spacing w:before="0" w:beforeAutospacing="0" w:after="0" w:afterAutospacing="0"/>
        <w:jc w:val="both"/>
        <w:rPr>
          <w:rFonts w:ascii="Times New Roman" w:hAnsi="Times New Roman" w:cs="Times New Roman"/>
        </w:rPr>
      </w:pPr>
    </w:p>
    <w:p w14:paraId="3E211439" w14:textId="11AB6238" w:rsidR="00355108" w:rsidRDefault="00355108" w:rsidP="00355108">
      <w:pPr>
        <w:pStyle w:val="ListParagraph"/>
        <w:numPr>
          <w:ilvl w:val="0"/>
          <w:numId w:val="2"/>
        </w:numPr>
        <w:spacing w:before="0" w:beforeAutospacing="0" w:after="0" w:afterAutospacing="0"/>
        <w:jc w:val="both"/>
        <w:rPr>
          <w:rFonts w:ascii="Times New Roman" w:hAnsi="Times New Roman" w:cs="Times New Roman"/>
        </w:rPr>
      </w:pPr>
      <w:r>
        <w:rPr>
          <w:rFonts w:ascii="Times New Roman" w:hAnsi="Times New Roman" w:cs="Times New Roman"/>
          <w:i/>
          <w:iCs/>
        </w:rPr>
        <w:t>Right of appeal; notice filed</w:t>
      </w:r>
      <w:r>
        <w:rPr>
          <w:rFonts w:ascii="Times New Roman" w:hAnsi="Times New Roman" w:cs="Times New Roman"/>
        </w:rPr>
        <w:t xml:space="preserve">. An appeal from any action, decision, ruling, judgment, order of the Board of Adjustment may be taken by any persons, jointly or severally, aggrieved, or any taxpayer or any officer, department, board or bureau of the town to the district court by filing with the Town Clerk and with the clerk of the Board of Adjustment, if there be one, within </w:t>
      </w:r>
      <w:r w:rsidRPr="00355108">
        <w:rPr>
          <w:rFonts w:ascii="Times New Roman" w:hAnsi="Times New Roman" w:cs="Times New Roman"/>
          <w:strike/>
        </w:rPr>
        <w:t>the time fixed by ordinance</w:t>
      </w:r>
      <w:r>
        <w:rPr>
          <w:rFonts w:ascii="Times New Roman" w:hAnsi="Times New Roman" w:cs="Times New Roman"/>
        </w:rPr>
        <w:t xml:space="preserve"> </w:t>
      </w:r>
      <w:r w:rsidR="0095548D">
        <w:rPr>
          <w:rFonts w:ascii="Times New Roman" w:hAnsi="Times New Roman" w:cs="Times New Roman"/>
          <w:color w:val="FF0000"/>
        </w:rPr>
        <w:t>twenty (20) days of the adverse action, decision, ruling, judgment, or order</w:t>
      </w:r>
      <w:r>
        <w:rPr>
          <w:rFonts w:ascii="Times New Roman" w:hAnsi="Times New Roman" w:cs="Times New Roman"/>
        </w:rPr>
        <w:t>, which notice shall specify the grounds for such appeal.  No bond or deposit for costs shall be required for such appeal.</w:t>
      </w:r>
    </w:p>
    <w:p w14:paraId="000439A3" w14:textId="77777777" w:rsidR="0095548D" w:rsidRDefault="0095548D" w:rsidP="0095548D">
      <w:pPr>
        <w:spacing w:before="0" w:beforeAutospacing="0" w:after="0" w:afterAutospacing="0"/>
        <w:jc w:val="both"/>
        <w:rPr>
          <w:rFonts w:ascii="Times New Roman" w:hAnsi="Times New Roman" w:cs="Times New Roman"/>
        </w:rPr>
      </w:pPr>
    </w:p>
    <w:p w14:paraId="34A87104" w14:textId="01203F83" w:rsidR="0095548D" w:rsidRDefault="0095548D" w:rsidP="00A366C3">
      <w:pPr>
        <w:spacing w:before="0" w:beforeAutospacing="0" w:after="0" w:afterAutospacing="0"/>
        <w:ind w:left="720"/>
        <w:jc w:val="both"/>
        <w:rPr>
          <w:rFonts w:ascii="Bodoni" w:hAnsi="Bodoni"/>
          <w:color w:val="FF0000"/>
        </w:rPr>
      </w:pPr>
      <w:r>
        <w:rPr>
          <w:rFonts w:ascii="Times New Roman" w:hAnsi="Times New Roman" w:cs="Times New Roman"/>
          <w:color w:val="FF0000"/>
        </w:rPr>
        <w:t xml:space="preserve">(G) </w:t>
      </w:r>
      <w:r w:rsidRPr="00A366C3">
        <w:rPr>
          <w:rFonts w:ascii="Times New Roman" w:hAnsi="Times New Roman" w:cs="Times New Roman"/>
          <w:i/>
          <w:iCs/>
          <w:color w:val="FF0000"/>
        </w:rPr>
        <w:t>Repealer</w:t>
      </w:r>
      <w:r>
        <w:rPr>
          <w:rFonts w:ascii="Times New Roman" w:hAnsi="Times New Roman" w:cs="Times New Roman"/>
          <w:color w:val="FF0000"/>
        </w:rPr>
        <w:t xml:space="preserve">.  </w:t>
      </w:r>
      <w:r w:rsidR="00A366C3" w:rsidRPr="00A366C3">
        <w:rPr>
          <w:rFonts w:ascii="Bodoni" w:hAnsi="Bodoni"/>
          <w:color w:val="FF0000"/>
        </w:rPr>
        <w:t>All ordinances or parts of ordinances in direct conflict herewith are repealed to the extent of the conflict only.</w:t>
      </w:r>
    </w:p>
    <w:p w14:paraId="26D44774" w14:textId="77777777" w:rsidR="00A366C3" w:rsidRDefault="00A366C3" w:rsidP="00A366C3">
      <w:pPr>
        <w:spacing w:before="0" w:beforeAutospacing="0" w:after="0" w:afterAutospacing="0"/>
        <w:ind w:left="720"/>
        <w:jc w:val="both"/>
        <w:rPr>
          <w:rFonts w:ascii="Times New Roman" w:hAnsi="Times New Roman" w:cs="Times New Roman"/>
        </w:rPr>
      </w:pPr>
    </w:p>
    <w:p w14:paraId="5895450B" w14:textId="77777777" w:rsidR="00A366C3" w:rsidRDefault="00A366C3" w:rsidP="00A366C3">
      <w:pPr>
        <w:pStyle w:val="ListParagraph"/>
        <w:spacing w:before="0" w:beforeAutospacing="0" w:after="0" w:afterAutospacing="0" w:line="256" w:lineRule="auto"/>
        <w:ind w:left="792"/>
        <w:rPr>
          <w:rFonts w:ascii="Bodoni" w:hAnsi="Bodoni"/>
          <w:color w:val="FF0000"/>
        </w:rPr>
      </w:pPr>
      <w:r>
        <w:rPr>
          <w:rFonts w:ascii="Times New Roman" w:hAnsi="Times New Roman" w:cs="Times New Roman"/>
          <w:color w:val="FF0000"/>
        </w:rPr>
        <w:t xml:space="preserve">(H) </w:t>
      </w:r>
      <w:r w:rsidRPr="00A366C3">
        <w:rPr>
          <w:rFonts w:ascii="Bodoni" w:hAnsi="Bodoni"/>
          <w:i/>
          <w:iCs/>
          <w:color w:val="FF0000"/>
        </w:rPr>
        <w:t>Severability</w:t>
      </w:r>
      <w:r w:rsidRPr="00A366C3">
        <w:rPr>
          <w:rFonts w:ascii="Bodoni" w:hAnsi="Bodoni"/>
          <w:color w:val="FF0000"/>
        </w:rPr>
        <w:t xml:space="preserve">.  Should any section, subsection, sentence, provision, clause, or phrase hereof be held invalid, void, or unconstitutional for any reason, such holding shall not render invalid, void, or unconstitutional any other section, subsection, sentence, provision, clause, or phrase of this ordinance and the same are deemed severable for this purpose. </w:t>
      </w:r>
    </w:p>
    <w:p w14:paraId="44CB23F3" w14:textId="77777777" w:rsidR="00A366C3" w:rsidRDefault="00A366C3" w:rsidP="00A366C3">
      <w:pPr>
        <w:spacing w:before="0" w:beforeAutospacing="0" w:after="0" w:afterAutospacing="0" w:line="256" w:lineRule="auto"/>
        <w:rPr>
          <w:rFonts w:ascii="Bodoni" w:hAnsi="Bodoni"/>
          <w:color w:val="FF0000"/>
        </w:rPr>
      </w:pPr>
    </w:p>
    <w:p w14:paraId="0C0E3BFC" w14:textId="360D9E67" w:rsidR="00A366C3" w:rsidRDefault="00A366C3" w:rsidP="00A366C3">
      <w:pPr>
        <w:spacing w:before="0" w:beforeAutospacing="0" w:after="0" w:afterAutospacing="0" w:line="256" w:lineRule="auto"/>
        <w:rPr>
          <w:rFonts w:ascii="Bodoni" w:hAnsi="Bodoni"/>
          <w:color w:val="FF0000"/>
        </w:rPr>
      </w:pPr>
      <w:r w:rsidRPr="00A366C3">
        <w:rPr>
          <w:rFonts w:ascii="Bodoni" w:hAnsi="Bodoni"/>
          <w:color w:val="FF0000"/>
        </w:rPr>
        <w:tab/>
        <w:t>(</w:t>
      </w:r>
      <w:r>
        <w:rPr>
          <w:rFonts w:ascii="Bodoni" w:hAnsi="Bodoni"/>
          <w:color w:val="FF0000"/>
        </w:rPr>
        <w:t xml:space="preserve">I) </w:t>
      </w:r>
      <w:r w:rsidR="006F582E">
        <w:rPr>
          <w:rFonts w:ascii="Bodoni" w:hAnsi="Bodoni"/>
          <w:i/>
          <w:iCs/>
          <w:color w:val="FF0000"/>
        </w:rPr>
        <w:t>Emergency.</w:t>
      </w:r>
      <w:r w:rsidR="006F582E">
        <w:rPr>
          <w:rFonts w:ascii="Bodoni" w:hAnsi="Bodoni"/>
          <w:color w:val="FF0000"/>
        </w:rPr>
        <w:t xml:space="preserve">  In order to ensure the safety and welfare and well-being of the citizens of the Town of Fort Gibson, this amendment should be and is hereby declared an emergency and shall become effective upon the date approved by the Board of Trustees.</w:t>
      </w:r>
    </w:p>
    <w:p w14:paraId="285B92A0" w14:textId="77777777" w:rsidR="006F582E" w:rsidRDefault="006F582E" w:rsidP="00A366C3">
      <w:pPr>
        <w:spacing w:before="0" w:beforeAutospacing="0" w:after="0" w:afterAutospacing="0" w:line="256" w:lineRule="auto"/>
        <w:rPr>
          <w:rFonts w:ascii="Bodoni" w:hAnsi="Bodoni"/>
          <w:color w:val="FF0000"/>
        </w:rPr>
      </w:pPr>
    </w:p>
    <w:p w14:paraId="6921D1C9" w14:textId="5A34F3D7" w:rsidR="006014DE" w:rsidRDefault="006F582E" w:rsidP="00A366C3">
      <w:pPr>
        <w:spacing w:before="0" w:beforeAutospacing="0" w:after="0" w:afterAutospacing="0" w:line="256" w:lineRule="auto"/>
        <w:rPr>
          <w:rFonts w:ascii="Bodoni" w:hAnsi="Bodoni"/>
        </w:rPr>
      </w:pPr>
      <w:r>
        <w:rPr>
          <w:rFonts w:ascii="Bodoni" w:hAnsi="Bodoni"/>
        </w:rPr>
        <w:t xml:space="preserve">(Prior Code, </w:t>
      </w:r>
      <w:r>
        <w:rPr>
          <w:rFonts w:ascii="Cambria" w:hAnsi="Cambria"/>
        </w:rPr>
        <w:t>§</w:t>
      </w:r>
      <w:r>
        <w:rPr>
          <w:rFonts w:ascii="Bodoni" w:hAnsi="Bodoni"/>
        </w:rPr>
        <w:t xml:space="preserve"> 12-3-6) (Ord. 1997-3-1, passed 3-10-1997</w:t>
      </w:r>
      <w:r w:rsidR="00B0356A">
        <w:rPr>
          <w:rFonts w:ascii="Bodoni" w:hAnsi="Bodoni"/>
        </w:rPr>
        <w:t xml:space="preserve">; </w:t>
      </w:r>
      <w:r w:rsidR="00B0356A" w:rsidRPr="008174EC">
        <w:rPr>
          <w:rFonts w:ascii="Bodoni" w:hAnsi="Bodoni"/>
          <w:color w:val="FF0000"/>
        </w:rPr>
        <w:t>as amended on the 24</w:t>
      </w:r>
      <w:r w:rsidR="00B0356A" w:rsidRPr="008174EC">
        <w:rPr>
          <w:rFonts w:ascii="Bodoni" w:hAnsi="Bodoni"/>
          <w:color w:val="FF0000"/>
          <w:vertAlign w:val="superscript"/>
        </w:rPr>
        <w:t>th</w:t>
      </w:r>
      <w:r w:rsidR="00B0356A" w:rsidRPr="008174EC">
        <w:rPr>
          <w:rFonts w:ascii="Bodoni" w:hAnsi="Bodoni"/>
          <w:color w:val="FF0000"/>
        </w:rPr>
        <w:t xml:space="preserve"> day of July, 2023</w:t>
      </w:r>
      <w:r w:rsidR="008174EC" w:rsidRPr="008174EC">
        <w:rPr>
          <w:rFonts w:ascii="Bodoni" w:hAnsi="Bodoni"/>
          <w:color w:val="FF0000"/>
        </w:rPr>
        <w:t>, and effective by declaration of emergency on the 24</w:t>
      </w:r>
      <w:r w:rsidR="008174EC" w:rsidRPr="008174EC">
        <w:rPr>
          <w:rFonts w:ascii="Bodoni" w:hAnsi="Bodoni"/>
          <w:color w:val="FF0000"/>
          <w:vertAlign w:val="superscript"/>
        </w:rPr>
        <w:t>th</w:t>
      </w:r>
      <w:r w:rsidR="008174EC" w:rsidRPr="008174EC">
        <w:rPr>
          <w:rFonts w:ascii="Bodoni" w:hAnsi="Bodoni"/>
          <w:color w:val="FF0000"/>
        </w:rPr>
        <w:t xml:space="preserve"> day of July, 2023</w:t>
      </w:r>
      <w:r w:rsidR="008174EC">
        <w:rPr>
          <w:rFonts w:ascii="Bodoni" w:hAnsi="Bodoni"/>
        </w:rPr>
        <w:t>)</w:t>
      </w:r>
    </w:p>
    <w:p w14:paraId="4F6AD873" w14:textId="044B29EA" w:rsidR="006014DE" w:rsidRDefault="006014DE" w:rsidP="00A366C3">
      <w:pPr>
        <w:spacing w:before="0" w:beforeAutospacing="0" w:after="0" w:afterAutospacing="0" w:line="256" w:lineRule="auto"/>
        <w:rPr>
          <w:rFonts w:ascii="Bodoni" w:hAnsi="Bodoni"/>
        </w:rPr>
      </w:pPr>
      <w:r>
        <w:rPr>
          <w:noProof/>
        </w:rPr>
        <w:lastRenderedPageBreak/>
        <w:drawing>
          <wp:inline distT="0" distB="0" distL="0" distR="0" wp14:anchorId="5293A42A" wp14:editId="5AC5BBDA">
            <wp:extent cx="5943600" cy="2625090"/>
            <wp:effectExtent l="0" t="0" r="0" b="3810"/>
            <wp:docPr id="137197130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71302" name="Picture 1" descr="A close-up of a document&#10;&#10;Description automatically generated"/>
                    <pic:cNvPicPr/>
                  </pic:nvPicPr>
                  <pic:blipFill>
                    <a:blip r:embed="rId5"/>
                    <a:stretch>
                      <a:fillRect/>
                    </a:stretch>
                  </pic:blipFill>
                  <pic:spPr>
                    <a:xfrm>
                      <a:off x="0" y="0"/>
                      <a:ext cx="5943600" cy="2625090"/>
                    </a:xfrm>
                    <a:prstGeom prst="rect">
                      <a:avLst/>
                    </a:prstGeom>
                  </pic:spPr>
                </pic:pic>
              </a:graphicData>
            </a:graphic>
          </wp:inline>
        </w:drawing>
      </w:r>
    </w:p>
    <w:p w14:paraId="10E550C0" w14:textId="77777777" w:rsidR="006014DE" w:rsidRDefault="006014DE" w:rsidP="00A366C3">
      <w:pPr>
        <w:spacing w:before="0" w:beforeAutospacing="0" w:after="0" w:afterAutospacing="0" w:line="256" w:lineRule="auto"/>
        <w:rPr>
          <w:rFonts w:ascii="Bodoni" w:hAnsi="Bodoni"/>
        </w:rPr>
      </w:pPr>
    </w:p>
    <w:p w14:paraId="6157E651" w14:textId="77777777" w:rsidR="006014DE" w:rsidRDefault="006014DE" w:rsidP="00A366C3">
      <w:pPr>
        <w:spacing w:before="0" w:beforeAutospacing="0" w:after="0" w:afterAutospacing="0" w:line="256" w:lineRule="auto"/>
        <w:rPr>
          <w:rFonts w:ascii="Bodoni" w:hAnsi="Bodoni"/>
        </w:rPr>
      </w:pPr>
    </w:p>
    <w:p w14:paraId="1A2DABF7" w14:textId="77777777" w:rsidR="006014DE" w:rsidRDefault="006014DE" w:rsidP="00A366C3">
      <w:pPr>
        <w:spacing w:before="0" w:beforeAutospacing="0" w:after="0" w:afterAutospacing="0" w:line="256" w:lineRule="auto"/>
        <w:rPr>
          <w:rFonts w:ascii="Bodoni" w:hAnsi="Bodoni"/>
        </w:rPr>
      </w:pPr>
    </w:p>
    <w:p w14:paraId="3AFD77AC" w14:textId="77777777" w:rsidR="006014DE" w:rsidRDefault="006014DE" w:rsidP="00A366C3">
      <w:pPr>
        <w:spacing w:before="0" w:beforeAutospacing="0" w:after="0" w:afterAutospacing="0" w:line="256" w:lineRule="auto"/>
        <w:rPr>
          <w:rFonts w:ascii="Bodoni" w:hAnsi="Bodoni"/>
        </w:rPr>
      </w:pPr>
    </w:p>
    <w:p w14:paraId="6D23C351" w14:textId="77777777" w:rsidR="006014DE" w:rsidRDefault="006014DE" w:rsidP="00A366C3">
      <w:pPr>
        <w:spacing w:before="0" w:beforeAutospacing="0" w:after="0" w:afterAutospacing="0" w:line="256" w:lineRule="auto"/>
        <w:rPr>
          <w:rFonts w:ascii="Bodoni" w:hAnsi="Bodoni"/>
        </w:rPr>
      </w:pPr>
    </w:p>
    <w:p w14:paraId="3FC68F60" w14:textId="77777777" w:rsidR="006014DE" w:rsidRDefault="006014DE" w:rsidP="00A366C3">
      <w:pPr>
        <w:spacing w:before="0" w:beforeAutospacing="0" w:after="0" w:afterAutospacing="0" w:line="256" w:lineRule="auto"/>
        <w:rPr>
          <w:rFonts w:ascii="Bodoni" w:hAnsi="Bodoni"/>
        </w:rPr>
      </w:pPr>
    </w:p>
    <w:p w14:paraId="5B236901" w14:textId="77777777" w:rsidR="006014DE" w:rsidRDefault="006014DE" w:rsidP="00A366C3">
      <w:pPr>
        <w:spacing w:before="0" w:beforeAutospacing="0" w:after="0" w:afterAutospacing="0" w:line="256" w:lineRule="auto"/>
        <w:rPr>
          <w:rFonts w:ascii="Bodoni" w:hAnsi="Bodoni"/>
        </w:rPr>
      </w:pPr>
    </w:p>
    <w:p w14:paraId="6864DEF2" w14:textId="77777777" w:rsidR="006014DE" w:rsidRDefault="006014DE" w:rsidP="00A366C3">
      <w:pPr>
        <w:spacing w:before="0" w:beforeAutospacing="0" w:after="0" w:afterAutospacing="0" w:line="256" w:lineRule="auto"/>
        <w:rPr>
          <w:rFonts w:ascii="Bodoni" w:hAnsi="Bodoni"/>
        </w:rPr>
      </w:pPr>
    </w:p>
    <w:p w14:paraId="5C4CDC66" w14:textId="77777777" w:rsidR="006014DE" w:rsidRDefault="006014DE" w:rsidP="00A366C3">
      <w:pPr>
        <w:spacing w:before="0" w:beforeAutospacing="0" w:after="0" w:afterAutospacing="0" w:line="256" w:lineRule="auto"/>
        <w:rPr>
          <w:rFonts w:ascii="Bodoni" w:hAnsi="Bodoni"/>
        </w:rPr>
      </w:pPr>
    </w:p>
    <w:p w14:paraId="7D187A3D" w14:textId="77777777" w:rsidR="006014DE" w:rsidRDefault="006014DE" w:rsidP="00A366C3">
      <w:pPr>
        <w:spacing w:before="0" w:beforeAutospacing="0" w:after="0" w:afterAutospacing="0" w:line="256" w:lineRule="auto"/>
        <w:rPr>
          <w:rFonts w:ascii="Bodoni" w:hAnsi="Bodoni"/>
        </w:rPr>
      </w:pPr>
    </w:p>
    <w:p w14:paraId="0855272A" w14:textId="77777777" w:rsidR="006014DE" w:rsidRDefault="006014DE" w:rsidP="00A366C3">
      <w:pPr>
        <w:spacing w:before="0" w:beforeAutospacing="0" w:after="0" w:afterAutospacing="0" w:line="256" w:lineRule="auto"/>
        <w:rPr>
          <w:rFonts w:ascii="Bodoni" w:hAnsi="Bodoni"/>
        </w:rPr>
      </w:pPr>
    </w:p>
    <w:p w14:paraId="4439052B" w14:textId="77777777" w:rsidR="006014DE" w:rsidRDefault="006014DE" w:rsidP="00A366C3">
      <w:pPr>
        <w:spacing w:before="0" w:beforeAutospacing="0" w:after="0" w:afterAutospacing="0" w:line="256" w:lineRule="auto"/>
        <w:rPr>
          <w:rFonts w:ascii="Bodoni" w:hAnsi="Bodoni"/>
        </w:rPr>
      </w:pPr>
    </w:p>
    <w:p w14:paraId="31A798D4" w14:textId="77777777" w:rsidR="006014DE" w:rsidRDefault="006014DE" w:rsidP="00A366C3">
      <w:pPr>
        <w:spacing w:before="0" w:beforeAutospacing="0" w:after="0" w:afterAutospacing="0" w:line="256" w:lineRule="auto"/>
        <w:rPr>
          <w:rFonts w:ascii="Bodoni" w:hAnsi="Bodoni"/>
        </w:rPr>
      </w:pPr>
    </w:p>
    <w:p w14:paraId="350236A5" w14:textId="77777777" w:rsidR="006014DE" w:rsidRDefault="006014DE" w:rsidP="00A366C3">
      <w:pPr>
        <w:spacing w:before="0" w:beforeAutospacing="0" w:after="0" w:afterAutospacing="0" w:line="256" w:lineRule="auto"/>
        <w:rPr>
          <w:rFonts w:ascii="Bodoni" w:hAnsi="Bodoni"/>
        </w:rPr>
      </w:pPr>
    </w:p>
    <w:p w14:paraId="12862223" w14:textId="77777777" w:rsidR="006014DE" w:rsidRDefault="006014DE" w:rsidP="00A366C3">
      <w:pPr>
        <w:spacing w:before="0" w:beforeAutospacing="0" w:after="0" w:afterAutospacing="0" w:line="256" w:lineRule="auto"/>
        <w:rPr>
          <w:rFonts w:ascii="Bodoni" w:hAnsi="Bodoni"/>
        </w:rPr>
      </w:pPr>
    </w:p>
    <w:p w14:paraId="7DE68190" w14:textId="77777777" w:rsidR="0049370E" w:rsidRDefault="0049370E" w:rsidP="00A366C3">
      <w:pPr>
        <w:spacing w:before="0" w:beforeAutospacing="0" w:after="0" w:afterAutospacing="0" w:line="256" w:lineRule="auto"/>
        <w:rPr>
          <w:rFonts w:ascii="Bodoni" w:hAnsi="Bodoni"/>
        </w:rPr>
      </w:pPr>
    </w:p>
    <w:p w14:paraId="0D51031E" w14:textId="77777777" w:rsidR="0049370E" w:rsidRDefault="0049370E" w:rsidP="00A366C3">
      <w:pPr>
        <w:spacing w:before="0" w:beforeAutospacing="0" w:after="0" w:afterAutospacing="0" w:line="256" w:lineRule="auto"/>
        <w:rPr>
          <w:rFonts w:ascii="Bodoni" w:hAnsi="Bodoni"/>
        </w:rPr>
      </w:pPr>
    </w:p>
    <w:p w14:paraId="409CE478" w14:textId="77777777" w:rsidR="0049370E" w:rsidRPr="006F582E" w:rsidRDefault="0049370E" w:rsidP="00A366C3">
      <w:pPr>
        <w:spacing w:before="0" w:beforeAutospacing="0" w:after="0" w:afterAutospacing="0" w:line="256" w:lineRule="auto"/>
        <w:rPr>
          <w:rFonts w:ascii="Bodoni" w:hAnsi="Bodoni"/>
        </w:rPr>
      </w:pPr>
    </w:p>
    <w:p w14:paraId="1CE4A0F1" w14:textId="7186A73C" w:rsidR="00A366C3" w:rsidRPr="00A366C3" w:rsidRDefault="00A366C3" w:rsidP="00A366C3">
      <w:pPr>
        <w:spacing w:before="0" w:beforeAutospacing="0" w:after="0" w:afterAutospacing="0"/>
        <w:ind w:left="720"/>
        <w:jc w:val="both"/>
        <w:rPr>
          <w:rFonts w:ascii="Times New Roman" w:hAnsi="Times New Roman" w:cs="Times New Roman"/>
          <w:color w:val="FF0000"/>
        </w:rPr>
      </w:pPr>
    </w:p>
    <w:sectPr w:rsidR="00A366C3" w:rsidRPr="00A366C3" w:rsidSect="00A15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8DB0"/>
    <w:multiLevelType w:val="singleLevel"/>
    <w:tmpl w:val="54E4CBBE"/>
    <w:lvl w:ilvl="0">
      <w:start w:val="3"/>
      <w:numFmt w:val="upperLetter"/>
      <w:lvlText w:val="%1."/>
      <w:lvlJc w:val="left"/>
      <w:pPr>
        <w:tabs>
          <w:tab w:val="num" w:pos="792"/>
        </w:tabs>
        <w:ind w:left="792" w:hanging="720"/>
      </w:pPr>
      <w:rPr>
        <w:rFonts w:ascii="Arial" w:hAnsi="Arial" w:cs="Times New Roman"/>
        <w:snapToGrid/>
        <w:spacing w:val="7"/>
        <w:sz w:val="22"/>
      </w:rPr>
    </w:lvl>
  </w:abstractNum>
  <w:abstractNum w:abstractNumId="1" w15:restartNumberingAfterBreak="0">
    <w:nsid w:val="13717D6F"/>
    <w:multiLevelType w:val="hybridMultilevel"/>
    <w:tmpl w:val="0136B00A"/>
    <w:lvl w:ilvl="0" w:tplc="F4560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F68E4"/>
    <w:multiLevelType w:val="hybridMultilevel"/>
    <w:tmpl w:val="E4EA8FCE"/>
    <w:lvl w:ilvl="0" w:tplc="2990F9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65E29"/>
    <w:multiLevelType w:val="hybridMultilevel"/>
    <w:tmpl w:val="A23A0F28"/>
    <w:lvl w:ilvl="0" w:tplc="BA2A73BE">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9B0012E"/>
    <w:multiLevelType w:val="hybridMultilevel"/>
    <w:tmpl w:val="3EB2AA42"/>
    <w:lvl w:ilvl="0" w:tplc="8C0A0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7F23D6"/>
    <w:multiLevelType w:val="hybridMultilevel"/>
    <w:tmpl w:val="C6CC3D38"/>
    <w:lvl w:ilvl="0" w:tplc="522CB6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5605211">
    <w:abstractNumId w:val="4"/>
  </w:num>
  <w:num w:numId="2" w16cid:durableId="369377443">
    <w:abstractNumId w:val="1"/>
  </w:num>
  <w:num w:numId="3" w16cid:durableId="624047021">
    <w:abstractNumId w:val="0"/>
  </w:num>
  <w:num w:numId="4" w16cid:durableId="1633753131">
    <w:abstractNumId w:val="3"/>
  </w:num>
  <w:num w:numId="5" w16cid:durableId="1962572865">
    <w:abstractNumId w:val="2"/>
  </w:num>
  <w:num w:numId="6" w16cid:durableId="422915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84"/>
    <w:rsid w:val="00355108"/>
    <w:rsid w:val="00400484"/>
    <w:rsid w:val="00403841"/>
    <w:rsid w:val="0049370E"/>
    <w:rsid w:val="006014DE"/>
    <w:rsid w:val="006F582E"/>
    <w:rsid w:val="008174EC"/>
    <w:rsid w:val="0095548D"/>
    <w:rsid w:val="009B4BA9"/>
    <w:rsid w:val="009D14CE"/>
    <w:rsid w:val="00A15F37"/>
    <w:rsid w:val="00A366C3"/>
    <w:rsid w:val="00B0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C534"/>
  <w15:chartTrackingRefBased/>
  <w15:docId w15:val="{10E366C7-7D28-403D-AC39-D8DA788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Clerk</cp:lastModifiedBy>
  <cp:revision>3</cp:revision>
  <dcterms:created xsi:type="dcterms:W3CDTF">2023-07-24T17:35:00Z</dcterms:created>
  <dcterms:modified xsi:type="dcterms:W3CDTF">2023-07-25T19:45:00Z</dcterms:modified>
</cp:coreProperties>
</file>